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ind w:left="260"/>
        <w:spacing w:after="0"/>
        <w:rPr>
          <w:rFonts w:ascii="Tahoma" w:hAnsi="Tahoma" w:eastAsia="Tahoma" w:cs="Tahoma"/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Документ предоставлен</w:t>
      </w:r>
      <w:r>
        <w:rPr>
          <w:rFonts w:ascii="Tahoma" w:hAnsi="Tahoma" w:eastAsia="Tahoma" w:cs="Tahoma"/>
          <w:sz w:val="20"/>
          <w:szCs w:val="20"/>
          <w:color w:val="0000FF"/>
        </w:rPr>
        <w:t xml:space="preserve"> </w:t>
      </w:r>
      <w:hyperlink r:id="rId12">
        <w:r>
          <w:rPr>
            <w:rFonts w:ascii="Tahoma" w:hAnsi="Tahoma" w:eastAsia="Tahoma" w:cs="Tahoma"/>
            <w:sz w:val="20"/>
            <w:szCs w:val="20"/>
            <w:color w:val="0000FF"/>
          </w:rPr>
          <w:t>КонсультантПлюс</w:t>
        </w:r>
      </w:hyperlink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ПРАВИТЕЛЬСТВО РЕСПУБЛИКИ ТЫВА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ПОСТАНОВЛЕНИЕ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2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2020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. N 307</w:t>
      </w: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ind w:left="2120" w:right="1880" w:firstLine="617"/>
        <w:spacing w:after="0" w:line="228" w:lineRule="auto"/>
        <w:tabs>
          <w:tab w:val="left" w:leader="none" w:pos="2927"/>
        </w:tabs>
        <w:numPr>
          <w:ilvl w:val="0"/>
          <w:numId w:val="1"/>
        </w:numP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</w:pP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ВНЕСЕНИИ ИЗМЕНЕНИЙ В ПОСТАНОВЛЕНИЕ ПРАВИТЕЛЬСТВА РЕСПУБЛИКИ ТЫВА ОТ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7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ДЕКАБРЯ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2009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 xml:space="preserve"> Г</w:t>
      </w:r>
      <w:r>
        <w:rPr>
          <w:rFonts w:ascii="Calibri" w:hAnsi="Calibri" w:eastAsia="Calibri" w:cs="Calibri"/>
          <w:sz w:val="21"/>
          <w:szCs w:val="21"/>
          <w:b w:val="1"/>
          <w:bCs w:val="1"/>
          <w:color w:val="auto"/>
        </w:rPr>
        <w:t>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N 601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И ГОСУДАРСТВЕННУЮ ПРОГРАММУ РЕСПУБЛИКИ ТЫВА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РАЗВИТИЕ ОБРАЗОВАНИЯ И НАУКИ НА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2014 - 2025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ГОДЫ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"</w:t>
      </w:r>
    </w:p>
    <w:p>
      <w:pPr>
        <w:spacing w:after="0" w:line="267" w:lineRule="exact"/>
        <w:rPr>
          <w:sz w:val="24"/>
          <w:szCs w:val="24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Правительство Республики Тыва постановляет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ind w:left="260" w:firstLine="542"/>
        <w:spacing w:after="0" w:line="218" w:lineRule="auto"/>
        <w:tabs>
          <w:tab w:val="left" w:leader="none" w:pos="1051"/>
        </w:tabs>
        <w:numPr>
          <w:ilvl w:val="0"/>
          <w:numId w:val="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Внести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2009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601 "</w:t>
      </w:r>
      <w:r>
        <w:rPr>
          <w:rFonts w:ascii="Calibri" w:hAnsi="Calibri" w:eastAsia="Calibri" w:cs="Calibri"/>
          <w:sz w:val="22"/>
          <w:szCs w:val="22"/>
          <w:color w:val="auto"/>
        </w:rPr>
        <w:t>О порядке организации отдыха и оздоровления детей в Республике Тыва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следующие изменения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19" w:lineRule="exact"/>
        <w:rPr>
          <w:sz w:val="24"/>
          <w:szCs w:val="24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3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Перечня категорий получателей путевок цифры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"15"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цифрами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"17";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jc w:val="both"/>
        <w:ind w:left="260" w:firstLine="540"/>
        <w:spacing w:after="0" w:line="225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7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Порядка распределения и выплаты компенсации родителю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законному представителю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 самостоятельно приобретенную путевку на ребенка в загородные стационарные детские оздоровительные лагеря цифры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"15"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цифрами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"17".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both"/>
        <w:ind w:left="260" w:firstLine="542"/>
        <w:spacing w:after="0" w:line="218" w:lineRule="auto"/>
        <w:tabs>
          <w:tab w:val="left" w:leader="none" w:pos="1028"/>
        </w:tabs>
        <w:numPr>
          <w:ilvl w:val="0"/>
          <w:numId w:val="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Внести в государственную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">
        <w:r>
          <w:rPr>
            <w:rFonts w:ascii="Calibri" w:hAnsi="Calibri" w:eastAsia="Calibri" w:cs="Calibri"/>
            <w:sz w:val="22"/>
            <w:szCs w:val="22"/>
            <w:color w:val="0000FF"/>
          </w:rPr>
          <w:t>программу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Развитие образования и науки на </w:t>
      </w:r>
      <w:r>
        <w:rPr>
          <w:rFonts w:ascii="Calibri" w:hAnsi="Calibri" w:eastAsia="Calibri" w:cs="Calibri"/>
          <w:sz w:val="22"/>
          <w:szCs w:val="22"/>
          <w:color w:val="auto"/>
        </w:rPr>
        <w:t>2014 - 2025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годы</w:t>
      </w:r>
      <w:r>
        <w:rPr>
          <w:rFonts w:ascii="Calibri" w:hAnsi="Calibri" w:eastAsia="Calibri" w:cs="Calibri"/>
          <w:sz w:val="22"/>
          <w:szCs w:val="22"/>
          <w:color w:val="auto"/>
        </w:rPr>
        <w:t>",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утвержденную постановлением Правительства 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октября</w:t>
      </w:r>
    </w:p>
    <w:p>
      <w:pPr>
        <w:ind w:left="26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2013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632 (</w:t>
      </w:r>
      <w:r>
        <w:rPr>
          <w:rFonts w:ascii="Calibri" w:hAnsi="Calibri" w:eastAsia="Calibri" w:cs="Calibri"/>
          <w:sz w:val="22"/>
          <w:szCs w:val="22"/>
          <w:color w:val="auto"/>
        </w:rPr>
        <w:t>далее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Программа</w:t>
      </w:r>
      <w:r>
        <w:rPr>
          <w:rFonts w:ascii="Calibri" w:hAnsi="Calibri" w:eastAsia="Calibri" w:cs="Calibri"/>
          <w:sz w:val="22"/>
          <w:szCs w:val="22"/>
          <w:color w:val="auto"/>
        </w:rPr>
        <w:t>),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следующие изменения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260" w:firstLine="540"/>
        <w:spacing w:after="0" w:line="228" w:lineRule="auto"/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а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в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</w:t>
      </w:r>
      <w:hyperlink r:id="rId17">
        <w:r>
          <w:rPr>
            <w:rFonts w:ascii="Calibri" w:hAnsi="Calibri" w:eastAsia="Calibri" w:cs="Calibri"/>
            <w:sz w:val="21"/>
            <w:szCs w:val="21"/>
            <w:color w:val="0000FF"/>
          </w:rPr>
          <w:t>Механизме</w:t>
        </w:r>
        <w:r>
          <w:rPr>
            <w:rFonts w:ascii="Calibri" w:hAnsi="Calibri" w:eastAsia="Calibri" w:cs="Calibri"/>
            <w:sz w:val="21"/>
            <w:szCs w:val="21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1"/>
          <w:szCs w:val="21"/>
          <w:color w:val="auto"/>
        </w:rPr>
        <w:t>финансирования оплаты путевок в загородные стационарные детские оздоровительные лагеря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оплаты стоимости набора продуктов питания в оздоровительных лагерях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260" w:firstLine="2"/>
        <w:spacing w:after="0" w:line="217" w:lineRule="auto"/>
        <w:tabs>
          <w:tab w:val="left" w:leader="none" w:pos="454"/>
        </w:tabs>
        <w:numPr>
          <w:ilvl w:val="0"/>
          <w:numId w:val="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дневным пребыванием детей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8">
        <w:r>
          <w:rPr>
            <w:rFonts w:ascii="Calibri" w:hAnsi="Calibri" w:eastAsia="Calibri" w:cs="Calibri"/>
            <w:sz w:val="22"/>
            <w:szCs w:val="22"/>
            <w:color w:val="0000FF"/>
          </w:rPr>
          <w:t>слова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>субсидий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словами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субвенций</w:t>
      </w:r>
      <w:r>
        <w:rPr>
          <w:rFonts w:ascii="Calibri" w:hAnsi="Calibri" w:eastAsia="Calibri" w:cs="Calibri"/>
          <w:sz w:val="22"/>
          <w:szCs w:val="22"/>
          <w:color w:val="auto"/>
        </w:rPr>
        <w:t>",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8">
        <w:r>
          <w:rPr>
            <w:rFonts w:ascii="Calibri" w:hAnsi="Calibri" w:eastAsia="Calibri" w:cs="Calibri"/>
            <w:sz w:val="22"/>
            <w:szCs w:val="22"/>
            <w:color w:val="0000FF"/>
          </w:rPr>
          <w:t>цифры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"15"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цифрами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"17";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9">
        <w:r>
          <w:rPr>
            <w:rFonts w:ascii="Calibri" w:hAnsi="Calibri" w:eastAsia="Calibri" w:cs="Calibri"/>
            <w:sz w:val="22"/>
            <w:szCs w:val="22"/>
            <w:color w:val="0000FF"/>
          </w:rPr>
          <w:t>приложение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N 8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к Программе изложить в следующей редакции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>Приложение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N 8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 государственной программе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Республики Тыва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>Развитие образования и науки</w:t>
      </w:r>
    </w:p>
    <w:p>
      <w:pPr>
        <w:jc w:val="right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2014 - 2025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годы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МЕТОДИКА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РАСЧЕТА СУБВЕНЦИЙ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ПРЕДОСТАВЛЯЕМЫХ ИЗ РЕСПУБЛИКАНСКОГО</w:t>
      </w:r>
    </w:p>
    <w:p>
      <w:pPr>
        <w:spacing w:after="0" w:line="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БЮДЖЕТА РЕСПУБЛИКИ ТЫВА БЮДЖЕТАМ МУНИЦИПАЛЬНЫХ РАЙОНОВ</w:t>
      </w:r>
    </w:p>
    <w:p>
      <w:pPr>
        <w:spacing w:after="0" w:line="4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3060" w:right="1800" w:hanging="1000"/>
        <w:spacing w:after="0" w:line="228" w:lineRule="auto"/>
        <w:tabs>
          <w:tab w:val="left" w:leader="none" w:pos="2257"/>
        </w:tabs>
        <w:numPr>
          <w:ilvl w:val="1"/>
          <w:numId w:val="5"/>
        </w:numPr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ГОРОДСКИХ ОКРУГОВ НА МЕРОПРИЯТИЯ ПО ПРОВЕДЕНИЮ ОЗДОРОВИТЕЛЬНОЙ КАМПАНИИ ДЕТЕЙ</w:t>
      </w:r>
    </w:p>
    <w:p>
      <w:pPr>
        <w:spacing w:after="0" w:line="319" w:lineRule="exact"/>
        <w:rPr>
          <w:rFonts w:ascii="Calibri" w:hAnsi="Calibri" w:eastAsia="Calibri" w:cs="Calibri"/>
          <w:sz w:val="21"/>
          <w:szCs w:val="21"/>
          <w:color w:val="auto"/>
        </w:rPr>
      </w:pPr>
    </w:p>
    <w:p>
      <w:pPr>
        <w:jc w:val="both"/>
        <w:ind w:left="260" w:firstLine="542"/>
        <w:spacing w:after="0" w:line="224" w:lineRule="auto"/>
        <w:tabs>
          <w:tab w:val="left" w:leader="none" w:pos="1009"/>
        </w:tabs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Настоящая Методика определяет расчет субвенций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предоставляемых из республиканского бюджета Республики Тыва бюджетам муниципальных районов и городских округов на мероприятия по проведению оздоровительной кампании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23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20" w:hanging="218"/>
        <w:spacing w:after="0"/>
        <w:tabs>
          <w:tab w:val="left" w:leader="none" w:pos="1020"/>
        </w:tabs>
        <w:numPr>
          <w:ilvl w:val="0"/>
          <w:numId w:val="5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Расчет субвенции производится по формуле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6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S</w:t>
      </w:r>
      <w:r>
        <w:rPr>
          <w:rFonts w:ascii="Calibri" w:hAnsi="Calibri" w:eastAsia="Calibri" w:cs="Calibri"/>
          <w:sz w:val="13"/>
          <w:szCs w:val="13"/>
          <w:color w:val="auto"/>
        </w:rPr>
        <w:t>i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= (K</w:t>
      </w:r>
      <w:r>
        <w:rPr>
          <w:rFonts w:ascii="Calibri" w:hAnsi="Calibri" w:eastAsia="Calibri" w:cs="Calibri"/>
          <w:sz w:val="13"/>
          <w:szCs w:val="13"/>
          <w:color w:val="auto"/>
        </w:rPr>
        <w:t>cd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x N</w:t>
      </w:r>
      <w:r>
        <w:rPr>
          <w:rFonts w:ascii="Calibri" w:hAnsi="Calibri" w:eastAsia="Calibri" w:cs="Calibri"/>
          <w:sz w:val="13"/>
          <w:szCs w:val="13"/>
          <w:color w:val="auto"/>
        </w:rPr>
        <w:t>d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x P</w:t>
      </w:r>
      <w:r>
        <w:rPr>
          <w:rFonts w:ascii="Calibri" w:hAnsi="Calibri" w:eastAsia="Calibri" w:cs="Calibri"/>
          <w:sz w:val="13"/>
          <w:szCs w:val="13"/>
          <w:color w:val="auto"/>
        </w:rPr>
        <w:t>g</w:t>
      </w:r>
      <w:r>
        <w:rPr>
          <w:rFonts w:ascii="Calibri" w:hAnsi="Calibri" w:eastAsia="Calibri" w:cs="Calibri"/>
          <w:sz w:val="22"/>
          <w:szCs w:val="22"/>
          <w:color w:val="auto"/>
        </w:rPr>
        <w:t>) + (K</w:t>
      </w:r>
      <w:r>
        <w:rPr>
          <w:rFonts w:ascii="Calibri" w:hAnsi="Calibri" w:eastAsia="Calibri" w:cs="Calibri"/>
          <w:sz w:val="13"/>
          <w:szCs w:val="13"/>
          <w:color w:val="auto"/>
        </w:rPr>
        <w:t>cs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x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</w:t>
      </w:r>
      <w:r>
        <w:rPr>
          <w:rFonts w:ascii="Calibri" w:hAnsi="Calibri" w:eastAsia="Calibri" w:cs="Calibri"/>
          <w:sz w:val="13"/>
          <w:szCs w:val="13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x 50%),</w:t>
      </w:r>
    </w:p>
    <w:p>
      <w:pPr>
        <w:sectPr>
          <w:pgSz w:w="11900" w:h="16838" w:orient="portrait"/>
          <w:cols w:equalWidth="0" w:num="1">
            <w:col w:w="9620"/>
          </w:cols>
          <w:pgMar w:top="1132" w:right="846" w:bottom="1036" w:left="1440" w:header="0" w:footer="0" w:gutter="0"/>
        </w:sectPr>
      </w:pPr>
    </w:p>
    <w:bookmarkStart w:name="page3" w:id="2"/>
    <w:bookmarkEnd w:id="2"/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где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S</w:t>
      </w:r>
      <w:r>
        <w:rPr>
          <w:rFonts w:ascii="Calibri" w:hAnsi="Calibri" w:eastAsia="Calibri" w:cs="Calibri"/>
          <w:sz w:val="13"/>
          <w:szCs w:val="13"/>
          <w:color w:val="auto"/>
        </w:rPr>
        <w:t>i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объем субвенций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i-</w:t>
      </w:r>
      <w:r>
        <w:rPr>
          <w:rFonts w:ascii="Calibri" w:hAnsi="Calibri" w:eastAsia="Calibri" w:cs="Calibri"/>
          <w:sz w:val="22"/>
          <w:szCs w:val="22"/>
          <w:color w:val="auto"/>
        </w:rPr>
        <w:t>му муниципальному району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городскому округу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</w:t>
      </w:r>
      <w:r>
        <w:rPr>
          <w:rFonts w:ascii="Calibri" w:hAnsi="Calibri" w:eastAsia="Calibri" w:cs="Calibri"/>
          <w:sz w:val="13"/>
          <w:szCs w:val="13"/>
          <w:color w:val="auto"/>
        </w:rPr>
        <w:t>cd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численность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подлежащих отдыху и оздоровлению в оздоровительных лагерях с дневным пребыванием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организованных образовательными организациями в каникулярное время в соответствии с реестром лагерей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N</w:t>
      </w:r>
      <w:r>
        <w:rPr>
          <w:rFonts w:ascii="Calibri" w:hAnsi="Calibri" w:eastAsia="Calibri" w:cs="Calibri"/>
          <w:sz w:val="13"/>
          <w:szCs w:val="13"/>
          <w:color w:val="auto"/>
        </w:rPr>
        <w:t>d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-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стоимость питания в день для детей в оздоровительных лагерях с дневным пребыванием</w:t>
      </w:r>
      <w:r>
        <w:rPr>
          <w:rFonts w:ascii="Calibri" w:hAnsi="Calibri" w:eastAsia="Calibri" w:cs="Calibri"/>
          <w:sz w:val="21"/>
          <w:szCs w:val="21"/>
          <w:color w:val="auto"/>
        </w:rPr>
        <w:t>;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P</w:t>
      </w:r>
      <w:r>
        <w:rPr>
          <w:rFonts w:ascii="Calibri" w:hAnsi="Calibri" w:eastAsia="Calibri" w:cs="Calibri"/>
          <w:sz w:val="13"/>
          <w:szCs w:val="13"/>
          <w:color w:val="auto"/>
        </w:rPr>
        <w:t>g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продолжительность пребывания детей в оздоровительных лагерях с дневным пребыванием в смену в соответствующем периоде каникул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в днях</w:t>
      </w:r>
      <w:r>
        <w:rPr>
          <w:rFonts w:ascii="Calibri" w:hAnsi="Calibri" w:eastAsia="Calibri" w:cs="Calibri"/>
          <w:sz w:val="22"/>
          <w:szCs w:val="22"/>
          <w:color w:val="auto"/>
        </w:rPr>
        <w:t>);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</w:t>
      </w:r>
      <w:r>
        <w:rPr>
          <w:rFonts w:ascii="Calibri" w:hAnsi="Calibri" w:eastAsia="Calibri" w:cs="Calibri"/>
          <w:sz w:val="13"/>
          <w:szCs w:val="13"/>
          <w:color w:val="auto"/>
        </w:rPr>
        <w:t>cs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количество детей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подлежащих отдыху и оздоровлению в стационарных оздоровительных лагерях в соответствии с реестром лагерей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jc w:val="center"/>
        <w:ind w:right="-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</w:t>
      </w:r>
      <w:r>
        <w:rPr>
          <w:rFonts w:ascii="Calibri" w:hAnsi="Calibri" w:eastAsia="Calibri" w:cs="Calibri"/>
          <w:sz w:val="13"/>
          <w:szCs w:val="13"/>
          <w:color w:val="auto"/>
        </w:rPr>
        <w:t>п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-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стоимость путевки в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25"/>
        </w:tabs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Стоимость питания в день для детей в оздоровительных лагерях с дневным пребыванием определяется в соответствии с нормативами оплаты стоимости путевки в санатории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санаторные оздоровительные лагеря круглогодичного действия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загородные стационарные детские оздоровительные лагеря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оздоровительные лагеря с дневным пребыванием детей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68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020"/>
        </w:tabs>
        <w:numPr>
          <w:ilvl w:val="0"/>
          <w:numId w:val="6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Среднесуточный набор пищевых продуктов в день для детей в оздоровительных лагерях с дневным пребыванием должен быть обеспечен в соответствии с требованиями СанПин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2.4.4.2599-10.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 xml:space="preserve">Среднесуточный набор пищевых продуктов в день для детей в загородных стационарных детских оздоровительных лагерях должен быть обеспечен в соответствии с требованиями СанПин </w:t>
      </w:r>
      <w:r>
        <w:rPr>
          <w:rFonts w:ascii="Calibri" w:hAnsi="Calibri" w:eastAsia="Calibri" w:cs="Calibri"/>
          <w:sz w:val="22"/>
          <w:szCs w:val="22"/>
          <w:color w:val="auto"/>
        </w:rPr>
        <w:t>2.4.4.3155-13.".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16"/>
        </w:tabs>
        <w:numPr>
          <w:ilvl w:val="0"/>
          <w:numId w:val="7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Разместить настоящее постановление на официальном 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портале правовой информации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(www.pravo.gov.ru)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официальном сайте Республики Тыва в информационно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телекоммуникационной сети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Глава Республики Тыва</w:t>
      </w:r>
    </w:p>
    <w:p>
      <w:pPr>
        <w:jc w:val="right"/>
        <w:spacing w:after="0" w:line="238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Ш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КАРА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ООЛ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408940</wp:posOffset>
            </wp:positionV>
            <wp:extent cx="5977890" cy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1440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200101FF" w:csb1="20280000"/>
  </w:font>
</w:fonts>
</file>

<file path=word/numbering.xml><?xml version="1.0" encoding="utf-8"?>
<w:numbering xmlns:w="http://schemas.openxmlformats.org/wordprocessingml/2006/main">
  <w:abstractNum w:abstractNumId="0">
    <w:nsid w:val="72AE"/>
    <w:multiLevelType w:val="hybridMultilevel"/>
    <w:lvl w:ilvl="0">
      <w:lvlJc w:val="left"/>
      <w:lvlText w:val="О"/>
      <w:numFmt w:val="bullet"/>
      <w:start w:val="1"/>
    </w:lvl>
  </w:abstractNum>
  <w:abstractNum w:abstractNumId="1">
    <w:nsid w:val="6952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5F90"/>
    <w:multiLevelType w:val="hybridMultilevel"/>
    <w:lvl w:ilvl="0">
      <w:lvlJc w:val="left"/>
      <w:lvlText w:val="%1."/>
      <w:numFmt w:val="decimal"/>
      <w:start w:val="2"/>
    </w:lvl>
  </w:abstractNum>
  <w:abstractNum w:abstractNumId="3">
    <w:nsid w:val="1649"/>
    <w:multiLevelType w:val="hybridMultilevel"/>
    <w:lvl w:ilvl="0">
      <w:lvlJc w:val="left"/>
      <w:lvlText w:val="с"/>
      <w:numFmt w:val="bullet"/>
      <w:start w:val="1"/>
    </w:lvl>
  </w:abstractNum>
  <w:abstractNum w:abstractNumId="4">
    <w:nsid w:val="6DF1"/>
    <w:multiLevelType w:val="hybridMultilevel"/>
    <w:lvl w:ilvl="0">
      <w:lvlJc w:val="left"/>
      <w:lvlText w:val="%1."/>
      <w:numFmt w:val="decimal"/>
    </w:lvl>
    <w:lvl w:ilvl="1">
      <w:lvlJc w:val="left"/>
      <w:lvlText w:val="И"/>
      <w:numFmt w:val="bullet"/>
      <w:start w:val="1"/>
    </w:lvl>
  </w:abstractNum>
  <w:abstractNum w:abstractNumId="5">
    <w:nsid w:val="5AF1"/>
    <w:multiLevelType w:val="hybridMultilevel"/>
    <w:lvl w:ilvl="0">
      <w:lvlJc w:val="left"/>
      <w:lvlText w:val="%1."/>
      <w:numFmt w:val="decimal"/>
      <w:start w:val="3"/>
    </w:lvl>
  </w:abstractNum>
  <w:abstractNum w:abstractNumId="6">
    <w:nsid w:val="41BB"/>
    <w:multiLevelType w:val="hybridMultilevel"/>
    <w:lvl w:ilvl="0">
      <w:lvlJc w:val="left"/>
      <w:lvlText w:val="%1."/>
      <w:numFmt w:val="decimal"/>
      <w:start w:val="3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21" Type="http://schemas.openxmlformats.org/officeDocument/2006/relationships/image" Target="media/image1.png"/><Relationship Id="rId12" Type="http://schemas.openxmlformats.org/officeDocument/2006/relationships/hyperlink" Target="https://www.consultant.ru/" TargetMode="External"/><Relationship Id="rId13" Type="http://schemas.openxmlformats.org/officeDocument/2006/relationships/hyperlink" Target="consultantplus://offline/ref=BBAEFB99BDA0FE84F2C4607BE6779FE8E7AA0590BA0A5E78B7EB5365FC5994B7B1CED5EE391BE80B0559DF0BDC8DC7DFLDq5C" TargetMode="External"/><Relationship Id="rId14" Type="http://schemas.openxmlformats.org/officeDocument/2006/relationships/hyperlink" Target="consultantplus://offline/ref=BBAEFB99BDA0FE84F2C4607BE6779FE8E7AA0590BA0A5E78B7EB5365FC5994B7B1CED5FC3943E4090C47DC0FC9DB96998139EEF392A11FF9E7E9F5L1q5C" TargetMode="External"/><Relationship Id="rId15" Type="http://schemas.openxmlformats.org/officeDocument/2006/relationships/hyperlink" Target="consultantplus://offline/ref=BBAEFB99BDA0FE84F2C4607BE6779FE8E7AA0590BA0A5E78B7EB5365FC5994B7B1CED5FC3943E4090C46DF0BC9DB96998139EEF392A11FF9E7E9F5L1q5C" TargetMode="External"/><Relationship Id="rId16" Type="http://schemas.openxmlformats.org/officeDocument/2006/relationships/hyperlink" Target="consultantplus://offline/ref=BBAEFB99BDA0FE84F2C4607BE6779FE8E7AA0590BB025A7CB6EB5365FC5994B7B1CED5FC3943E10258169A5FCF8DCEC3D535F2F88CA2L1qFC" TargetMode="External"/><Relationship Id="rId17" Type="http://schemas.openxmlformats.org/officeDocument/2006/relationships/hyperlink" Target="consultantplus://offline/ref=BBAEFB99BDA0FE84F2C4607BE6779FE8E7AA0590BB025A7CB6EB5365FC5994B7B1CED5FC3943E40A094ED90CC9DB96998139EEF392A11FF9E7E9F5L1q5C" TargetMode="External"/><Relationship Id="rId18" Type="http://schemas.openxmlformats.org/officeDocument/2006/relationships/hyperlink" Target="consultantplus://offline/ref=BBAEFB99BDA0FE84F2C4607BE6779FE8E7AA0590BB025A7CB6EB5365FC5994B7B1CED5FC3943E40A094ED902C9DB96998139EEF392A11FF9E7E9F5L1q5C" TargetMode="External"/><Relationship Id="rId19" Type="http://schemas.openxmlformats.org/officeDocument/2006/relationships/hyperlink" Target="consultantplus://offline/ref=BBAEFB99BDA0FE84F2C4607BE6779FE8E7AA0590BB025A7CB6EB5365FC5994B7B1CED5FC3943E40A094ED70AC9DB96998139EEF392A11FF9E7E9F5L1q5C" TargetMode="External"/><Relationship Id="rId20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2023-09-16T12:20:33Z</dcterms:created>
  <dcterms:modified xsi:type="dcterms:W3CDTF">2023-09-16T12:20:33Z</dcterms:modified>
</cp:coreProperties>
</file>